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CCA0" w14:textId="29CC50A8" w:rsidR="00D9751A" w:rsidRDefault="00D9751A" w:rsidP="00D9751A">
      <w:pPr>
        <w:pStyle w:val="Ttulo1"/>
        <w:jc w:val="center"/>
      </w:pPr>
      <w:r>
        <w:t xml:space="preserve">Manual de uso del </w:t>
      </w:r>
      <w:r w:rsidRPr="00D9751A">
        <w:t>Cabezal indicador digital para sondas de medición de velocidad de agua en canales abiertos</w:t>
      </w:r>
      <w:r w:rsidR="00345848">
        <w:t xml:space="preserve"> </w:t>
      </w:r>
      <w:r>
        <w:t>Armfield H33-10</w:t>
      </w:r>
    </w:p>
    <w:p w14:paraId="07FD283E" w14:textId="40F693B7" w:rsidR="00D9751A" w:rsidRDefault="00D9751A" w:rsidP="00345848">
      <w:pPr>
        <w:pStyle w:val="Ttulo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FB2F60" wp14:editId="1F665159">
            <wp:simplePos x="0" y="0"/>
            <wp:positionH relativeFrom="margin">
              <wp:posOffset>3888740</wp:posOffset>
            </wp:positionH>
            <wp:positionV relativeFrom="paragraph">
              <wp:posOffset>19685</wp:posOffset>
            </wp:positionV>
            <wp:extent cx="2489835" cy="2743200"/>
            <wp:effectExtent l="0" t="0" r="5715" b="0"/>
            <wp:wrapSquare wrapText="left"/>
            <wp:docPr id="8052845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84552" name="Imagen 8052845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Indicador digital versión 440</w:t>
      </w:r>
    </w:p>
    <w:p w14:paraId="1A821182" w14:textId="5F9C9F26" w:rsidR="00FC1205" w:rsidRDefault="00D9751A" w:rsidP="00D9751A">
      <w:r>
        <w:t xml:space="preserve">El indicador digital versión 440 ha sido desarrollado para usarse con cualquier sonda </w:t>
      </w:r>
      <w:r w:rsidR="00FC1205">
        <w:t xml:space="preserve">compatible </w:t>
      </w:r>
      <w:r>
        <w:t>Streamflo</w:t>
      </w:r>
      <w:r w:rsidR="00FC1205">
        <w:t xml:space="preserve"> (H33-1, H33-2 y/o H33-3)</w:t>
      </w:r>
      <w:r>
        <w:t xml:space="preserve"> </w:t>
      </w:r>
      <w:r w:rsidR="00FC1205">
        <w:t>para medir la velocidad cuasi-instantánea del flujo de agua en una pequeña zona de un canal abierto, tanto en el laboratorio como a campo (en este último caso es preciso ser muy cuidadoso con la integridad mecánica y la limpieza de la sonda propiamente dicha).</w:t>
      </w:r>
    </w:p>
    <w:p w14:paraId="60B39887" w14:textId="469639D4" w:rsidR="00D9751A" w:rsidRDefault="00D9751A" w:rsidP="00D9751A">
      <w:r>
        <w:t>La unidad funciona con pilas recargables. Se incluye una fuente switching para recargarlas dentro del mismo cabezal.</w:t>
      </w:r>
    </w:p>
    <w:p w14:paraId="07625587" w14:textId="14AA990C" w:rsidR="00D9751A" w:rsidRDefault="003D7FEA" w:rsidP="00345848">
      <w:pPr>
        <w:pStyle w:val="Ttulo2"/>
      </w:pPr>
      <w:r>
        <w:t>Especificaciones Técnicas</w:t>
      </w:r>
    </w:p>
    <w:p w14:paraId="6277C3AE" w14:textId="644C858F" w:rsidR="00D9751A" w:rsidRDefault="00D9751A" w:rsidP="003D7FEA">
      <w:pPr>
        <w:pStyle w:val="Prrafodelista"/>
        <w:numPr>
          <w:ilvl w:val="0"/>
          <w:numId w:val="1"/>
        </w:numPr>
      </w:pPr>
      <w:r>
        <w:t>Alimentación: Cuatro pilas tamaño AA recargable Ni-MH 1300 mAh</w:t>
      </w:r>
    </w:p>
    <w:p w14:paraId="279AC76C" w14:textId="77777777" w:rsidR="00D9751A" w:rsidRDefault="00D9751A" w:rsidP="003D7FEA">
      <w:pPr>
        <w:pStyle w:val="Prrafodelista"/>
        <w:numPr>
          <w:ilvl w:val="0"/>
          <w:numId w:val="1"/>
        </w:numPr>
      </w:pPr>
      <w:r>
        <w:t>Duración de la batería: 300 horas con carga completa.</w:t>
      </w:r>
    </w:p>
    <w:p w14:paraId="77E15292" w14:textId="77777777" w:rsidR="00D9751A" w:rsidRDefault="00D9751A" w:rsidP="003D7FEA">
      <w:pPr>
        <w:pStyle w:val="Prrafodelista"/>
        <w:numPr>
          <w:ilvl w:val="0"/>
          <w:numId w:val="1"/>
        </w:numPr>
      </w:pPr>
      <w:r>
        <w:t>Pantalla: Pantalla LCD multifunción retroiluminada de 70 x 38 mm</w:t>
      </w:r>
    </w:p>
    <w:p w14:paraId="1A29B12A" w14:textId="77777777" w:rsidR="00D9751A" w:rsidRDefault="00D9751A" w:rsidP="003D7FEA">
      <w:pPr>
        <w:pStyle w:val="Prrafodelista"/>
        <w:numPr>
          <w:ilvl w:val="0"/>
          <w:numId w:val="1"/>
        </w:numPr>
      </w:pPr>
      <w:r>
        <w:t>Controles: interruptor de encendido/apagado, botones de función A y B, botón de retroiluminación</w:t>
      </w:r>
    </w:p>
    <w:p w14:paraId="4C7E5121" w14:textId="77777777" w:rsidR="00D9751A" w:rsidRDefault="00D9751A" w:rsidP="003D7FEA">
      <w:pPr>
        <w:pStyle w:val="Prrafodelista"/>
        <w:numPr>
          <w:ilvl w:val="0"/>
          <w:numId w:val="1"/>
        </w:numPr>
      </w:pPr>
      <w:r>
        <w:t>Entrada: Conector miniatura BNC para cable coaxial</w:t>
      </w:r>
    </w:p>
    <w:p w14:paraId="24FB33A9" w14:textId="3A452365" w:rsidR="00D9751A" w:rsidRDefault="00D9751A" w:rsidP="003D7FEA">
      <w:pPr>
        <w:pStyle w:val="Prrafodelista"/>
        <w:numPr>
          <w:ilvl w:val="0"/>
          <w:numId w:val="1"/>
        </w:numPr>
      </w:pPr>
      <w:r>
        <w:t>Salida auxiliar para registradro: 0-5 V CC desde un conector hembra de 3,5 mm</w:t>
      </w:r>
    </w:p>
    <w:p w14:paraId="53F9979C" w14:textId="690F2BAF" w:rsidR="00D9751A" w:rsidRDefault="00D9751A" w:rsidP="003D7FEA">
      <w:pPr>
        <w:pStyle w:val="Prrafodelista"/>
        <w:numPr>
          <w:ilvl w:val="0"/>
          <w:numId w:val="1"/>
        </w:numPr>
      </w:pPr>
      <w:r>
        <w:t>Tamaño del gabinete: 210 x 100 x 32 mm en total</w:t>
      </w:r>
    </w:p>
    <w:p w14:paraId="293A24DF" w14:textId="77777777" w:rsidR="00D9751A" w:rsidRDefault="00D9751A" w:rsidP="003D7FEA">
      <w:pPr>
        <w:pStyle w:val="Prrafodelista"/>
        <w:numPr>
          <w:ilvl w:val="0"/>
          <w:numId w:val="1"/>
        </w:numPr>
      </w:pPr>
      <w:r>
        <w:t>Peso: 410 g con pilas instaladas</w:t>
      </w:r>
    </w:p>
    <w:p w14:paraId="36A559C0" w14:textId="77777777" w:rsidR="00D9751A" w:rsidRDefault="00D9751A" w:rsidP="003D7FEA">
      <w:pPr>
        <w:pStyle w:val="Prrafodelista"/>
        <w:numPr>
          <w:ilvl w:val="0"/>
          <w:numId w:val="1"/>
        </w:numPr>
      </w:pPr>
      <w:r>
        <w:t>Material de la caja: plástico ABS moldeado</w:t>
      </w:r>
    </w:p>
    <w:p w14:paraId="0070F352" w14:textId="2D9C02DC" w:rsidR="00D9751A" w:rsidRDefault="003D7FEA" w:rsidP="00345848">
      <w:pPr>
        <w:pStyle w:val="Ttulo2"/>
      </w:pPr>
      <w:r>
        <w:t>Uso</w:t>
      </w:r>
    </w:p>
    <w:p w14:paraId="27E1FBED" w14:textId="77777777" w:rsidR="003D7FEA" w:rsidRDefault="00D9751A" w:rsidP="00D9751A">
      <w:r>
        <w:t>No son necesarios procedimientos de configuración especiales aparte de garantizar que las baterías estén instaladas con la polaridad correcta y</w:t>
      </w:r>
      <w:r w:rsidR="003D7FEA">
        <w:t xml:space="preserve"> con la carga suficiente.</w:t>
      </w:r>
    </w:p>
    <w:p w14:paraId="4FF24816" w14:textId="77777777" w:rsidR="003D7FEA" w:rsidRDefault="003D7FEA" w:rsidP="00D9751A">
      <w:r>
        <w:t>Deberás conectar el cable de la sonda al cabezal a través del</w:t>
      </w:r>
      <w:r w:rsidR="00D9751A">
        <w:t xml:space="preserve"> conector BNC en la parte superior de la unidad. </w:t>
      </w:r>
    </w:p>
    <w:p w14:paraId="76583052" w14:textId="24E570CF" w:rsidR="003D7FEA" w:rsidRDefault="003D7FEA" w:rsidP="00D9751A">
      <w:r>
        <w:t xml:space="preserve">Mantené presionado (suavemente) el botón de encencido </w:t>
      </w:r>
      <w:r w:rsidR="00D9751A">
        <w:t xml:space="preserve">durante </w:t>
      </w:r>
      <w:r>
        <w:t xml:space="preserve">-al menos- </w:t>
      </w:r>
      <w:r w:rsidR="00D9751A">
        <w:t xml:space="preserve">3 segundos y la unidad </w:t>
      </w:r>
      <w:r>
        <w:t>se encenderá, mostrando la última unidad que se le pidió.</w:t>
      </w:r>
    </w:p>
    <w:p w14:paraId="2126F50F" w14:textId="77777777" w:rsidR="003D7FEA" w:rsidRDefault="00D9751A" w:rsidP="00D9751A">
      <w:r>
        <w:t xml:space="preserve">La unidad ahora mostrará la frecuencia de los pulsos de la sonda cuando la sonda esté sumergida en agua y </w:t>
      </w:r>
      <w:r w:rsidR="003D7FEA">
        <w:t xml:space="preserve">su </w:t>
      </w:r>
      <w:r>
        <w:t xml:space="preserve">rotor esté girando. </w:t>
      </w:r>
    </w:p>
    <w:p w14:paraId="2C8F9B36" w14:textId="5FA3920D" w:rsidR="00B8734D" w:rsidRDefault="00D9751A" w:rsidP="00D9751A">
      <w:r>
        <w:t>La frecuencia mostrada se puede convertir a cm/seg utilizando la tabla de calibración de la sonda Streamflo suministrada con la sonda.</w:t>
      </w:r>
    </w:p>
    <w:p w14:paraId="7221D89B" w14:textId="2CD43A23" w:rsidR="003D7FEA" w:rsidRPr="00345848" w:rsidRDefault="003D7FEA" w:rsidP="00345848">
      <w:pPr>
        <w:pStyle w:val="Ttulo2"/>
      </w:pPr>
      <w:r>
        <w:t>Calibración</w:t>
      </w:r>
    </w:p>
    <w:p w14:paraId="46932873" w14:textId="26B2980D" w:rsidR="003D7FEA" w:rsidRPr="003D7FEA" w:rsidRDefault="003D7FEA" w:rsidP="003D7FEA">
      <w:pPr>
        <w:pStyle w:val="Prrafodelista"/>
        <w:numPr>
          <w:ilvl w:val="0"/>
          <w:numId w:val="2"/>
        </w:numPr>
      </w:pPr>
      <w:r>
        <w:t>Lo que mide realmente el cabezal es la cadencia de pulsos que recibe (en Hz).</w:t>
      </w:r>
    </w:p>
    <w:p w14:paraId="734AF2EC" w14:textId="771CDDC0" w:rsidR="003D7FEA" w:rsidRDefault="003D7FEA" w:rsidP="003D7FEA">
      <w:pPr>
        <w:pStyle w:val="Prrafodelista"/>
        <w:numPr>
          <w:ilvl w:val="0"/>
          <w:numId w:val="2"/>
        </w:numPr>
      </w:pPr>
      <w:r>
        <w:t>Pero se puede programar para leer directamente en cm/seg ingresando una cifra calibrada leída del gráfico de calibración suministrado con la sonda.</w:t>
      </w:r>
    </w:p>
    <w:p w14:paraId="1D563C07" w14:textId="46E5EBEA" w:rsidR="003D7FEA" w:rsidRDefault="003D7FEA" w:rsidP="003D7FEA">
      <w:pPr>
        <w:pStyle w:val="Prrafodelista"/>
        <w:numPr>
          <w:ilvl w:val="0"/>
          <w:numId w:val="2"/>
        </w:numPr>
      </w:pPr>
      <w:r>
        <w:t>Mantené presionado el botón A y dale un toque a B (los botones son capacitivos, no busques sentir ningún clic).</w:t>
      </w:r>
    </w:p>
    <w:p w14:paraId="1049886D" w14:textId="3F34CE60" w:rsidR="003D7FEA" w:rsidRDefault="003D7FEA" w:rsidP="003D7FEA">
      <w:pPr>
        <w:pStyle w:val="Prrafodelista"/>
        <w:numPr>
          <w:ilvl w:val="0"/>
          <w:numId w:val="2"/>
        </w:numPr>
      </w:pPr>
      <w:r>
        <w:t>La pantalla mostrará entonces Cm/seg @ 50 Hz.</w:t>
      </w:r>
    </w:p>
    <w:p w14:paraId="700373B1" w14:textId="6F8ABCF4" w:rsidR="003D7FEA" w:rsidRDefault="003D7FEA" w:rsidP="003D7FEA">
      <w:pPr>
        <w:pStyle w:val="Prrafodelista"/>
        <w:numPr>
          <w:ilvl w:val="0"/>
          <w:numId w:val="2"/>
        </w:numPr>
      </w:pPr>
      <w:r>
        <w:lastRenderedPageBreak/>
        <w:t>El botón B incrementa los valores (sería como una flecha arriba) mientras que el botón A cambia al siguiente dígito o parámetro (sería como una tecla TAB).</w:t>
      </w:r>
    </w:p>
    <w:p w14:paraId="4F7A530C" w14:textId="0B63A733" w:rsidR="003D7FEA" w:rsidRDefault="003D7FEA" w:rsidP="003D7FEA">
      <w:pPr>
        <w:pStyle w:val="Prrafodelista"/>
        <w:numPr>
          <w:ilvl w:val="0"/>
          <w:numId w:val="2"/>
        </w:numPr>
      </w:pPr>
      <w:r>
        <w:t>Usando la tabla de calibración suministrada, cargá la velocidad en cm/seg correspondiente a una cadencia de pulsos de 50 Hz.</w:t>
      </w:r>
    </w:p>
    <w:p w14:paraId="22D0D60B" w14:textId="451114EA" w:rsidR="003D7FEA" w:rsidRDefault="003D7FEA" w:rsidP="003D7FEA">
      <w:pPr>
        <w:pStyle w:val="Prrafodelista"/>
        <w:numPr>
          <w:ilvl w:val="0"/>
          <w:numId w:val="2"/>
        </w:numPr>
      </w:pPr>
      <w:r>
        <w:t>La pantalla mostrará entonces Cm/seg @ 0 Hz.</w:t>
      </w:r>
    </w:p>
    <w:p w14:paraId="40B01FF0" w14:textId="11216506" w:rsidR="003D7FEA" w:rsidRDefault="003D7FEA" w:rsidP="003D7FEA">
      <w:pPr>
        <w:pStyle w:val="Prrafodelista"/>
        <w:numPr>
          <w:ilvl w:val="0"/>
          <w:numId w:val="2"/>
        </w:numPr>
      </w:pPr>
      <w:r>
        <w:t>Nuevamente, utilizando la tabla suministrada, ingresá la velocidad en cm/seg correspondiente a 0 Hz.</w:t>
      </w:r>
    </w:p>
    <w:p w14:paraId="3FC62004" w14:textId="685FFAE4" w:rsidR="003D7FEA" w:rsidRDefault="003D7FEA" w:rsidP="003D7FEA">
      <w:pPr>
        <w:pStyle w:val="Prrafodelista"/>
        <w:numPr>
          <w:ilvl w:val="0"/>
          <w:numId w:val="2"/>
        </w:numPr>
      </w:pPr>
      <w:r>
        <w:t>La siguiente siguiente te permite establecer la posición del punto decimal.</w:t>
      </w:r>
    </w:p>
    <w:p w14:paraId="2EC70D86" w14:textId="47AC3334" w:rsidR="003D7FEA" w:rsidRDefault="003D7FEA" w:rsidP="003D7FEA">
      <w:pPr>
        <w:pStyle w:val="Prrafodelista"/>
        <w:numPr>
          <w:ilvl w:val="0"/>
          <w:numId w:val="2"/>
        </w:numPr>
      </w:pPr>
      <w:r>
        <w:t xml:space="preserve">La que sigue controla la frecuencia en Hz que </w:t>
      </w:r>
      <w:r w:rsidR="00345848">
        <w:t xml:space="preserve">hará llegar al fondo de escala la salida auxilar de </w:t>
      </w:r>
      <w:r>
        <w:t>0-5 V CC</w:t>
      </w:r>
      <w:r w:rsidR="00345848">
        <w:t xml:space="preserve">, en caso de que la vayas a usar (podrías, por ejemplo, alimentar un sensor </w:t>
      </w:r>
      <w:r w:rsidR="00345848">
        <w:rPr>
          <w:i/>
          <w:iCs/>
        </w:rPr>
        <w:t>PASCO</w:t>
      </w:r>
      <w:r w:rsidR="00345848">
        <w:t xml:space="preserve"> PS-3211 o un conjunto PS-2115 + PS-3200 para enviar las lecturas a una PC o celular a través del Bluetooth)</w:t>
      </w:r>
      <w:r>
        <w:t>.</w:t>
      </w:r>
    </w:p>
    <w:p w14:paraId="1A46223E" w14:textId="02BC1CA5" w:rsidR="00345848" w:rsidRDefault="00345848" w:rsidP="003D7FEA">
      <w:pPr>
        <w:pStyle w:val="Prrafodelista"/>
        <w:numPr>
          <w:ilvl w:val="0"/>
          <w:numId w:val="2"/>
        </w:numPr>
      </w:pPr>
      <w:r>
        <w:t>El último ajuste te permite establecer el tiempo de refresco para las lecturas.</w:t>
      </w:r>
    </w:p>
    <w:p w14:paraId="63C6DA13" w14:textId="77777777" w:rsidR="00345848" w:rsidRDefault="003D7FEA" w:rsidP="003D7FEA">
      <w:pPr>
        <w:pStyle w:val="Prrafodelista"/>
        <w:numPr>
          <w:ilvl w:val="0"/>
          <w:numId w:val="2"/>
        </w:numPr>
      </w:pPr>
      <w:r>
        <w:t>Cuando esté</w:t>
      </w:r>
      <w:r w:rsidR="00345848">
        <w:t>s</w:t>
      </w:r>
      <w:r>
        <w:t xml:space="preserve"> satisfecho con </w:t>
      </w:r>
      <w:r w:rsidR="00345848">
        <w:t xml:space="preserve">la configuración de </w:t>
      </w:r>
      <w:r>
        <w:t xml:space="preserve">todos los parámetros, </w:t>
      </w:r>
      <w:r w:rsidR="00345848">
        <w:t>mantené presionado el botón A y dale untoque al B.</w:t>
      </w:r>
    </w:p>
    <w:p w14:paraId="34001474" w14:textId="3B8E853E" w:rsidR="003D7FEA" w:rsidRDefault="003D7FEA" w:rsidP="003D7FEA">
      <w:pPr>
        <w:pStyle w:val="Prrafodelista"/>
        <w:numPr>
          <w:ilvl w:val="0"/>
          <w:numId w:val="2"/>
        </w:numPr>
      </w:pPr>
      <w:r>
        <w:t xml:space="preserve">El medidor </w:t>
      </w:r>
      <w:r w:rsidR="00345848">
        <w:t>cambiará de estado y mo</w:t>
      </w:r>
      <w:r>
        <w:t>strará "RUN"</w:t>
      </w:r>
      <w:r w:rsidR="00345848">
        <w:t xml:space="preserve">, pudiendo obtener lecturas directas de velocidad con la </w:t>
      </w:r>
      <w:r>
        <w:t>sonda calibrada.</w:t>
      </w:r>
    </w:p>
    <w:p w14:paraId="6EE3617E" w14:textId="20D0D917" w:rsidR="00345848" w:rsidRDefault="003D7FEA" w:rsidP="00345848">
      <w:pPr>
        <w:pStyle w:val="Ttulo3"/>
        <w:ind w:left="360"/>
      </w:pPr>
      <w:r>
        <w:t>¡</w:t>
      </w:r>
      <w:r w:rsidR="00345848">
        <w:t>Atención</w:t>
      </w:r>
      <w:r>
        <w:t>!</w:t>
      </w:r>
    </w:p>
    <w:p w14:paraId="38832F83" w14:textId="371D0F99" w:rsidR="00345848" w:rsidRDefault="003D7FEA" w:rsidP="00345848">
      <w:pPr>
        <w:pStyle w:val="Prrafodelista"/>
        <w:numPr>
          <w:ilvl w:val="0"/>
          <w:numId w:val="3"/>
        </w:numPr>
      </w:pPr>
      <w:r>
        <w:t xml:space="preserve">Si </w:t>
      </w:r>
      <w:r w:rsidR="00345848">
        <w:t>cambiás de sonda, deberás hacer programar nueva calibración.</w:t>
      </w:r>
    </w:p>
    <w:p w14:paraId="350FBD54" w14:textId="487CDDAD" w:rsidR="00345848" w:rsidRDefault="00345848" w:rsidP="00345848">
      <w:pPr>
        <w:pStyle w:val="Ttulo2"/>
      </w:pPr>
      <w:r>
        <w:t>Algunos tips</w:t>
      </w:r>
    </w:p>
    <w:p w14:paraId="13E769A8" w14:textId="47111324" w:rsidR="00345848" w:rsidRDefault="003D7FEA" w:rsidP="003D7FEA">
      <w:pPr>
        <w:pStyle w:val="Prrafodelista"/>
        <w:numPr>
          <w:ilvl w:val="0"/>
          <w:numId w:val="2"/>
        </w:numPr>
      </w:pPr>
      <w:r>
        <w:t xml:space="preserve">Para </w:t>
      </w:r>
      <w:r w:rsidR="00345848">
        <w:t>cambiar de unidades</w:t>
      </w:r>
      <w:r>
        <w:t xml:space="preserve">, </w:t>
      </w:r>
      <w:r w:rsidR="00345848">
        <w:t>mantené presionado el botón B y dale toques a A hasta que se muestre la unidad que estás buscando.</w:t>
      </w:r>
    </w:p>
    <w:p w14:paraId="3401FB7C" w14:textId="72C754EB" w:rsidR="003D7FEA" w:rsidRDefault="003D7FEA" w:rsidP="003D7FEA">
      <w:pPr>
        <w:pStyle w:val="Prrafodelista"/>
        <w:numPr>
          <w:ilvl w:val="0"/>
          <w:numId w:val="2"/>
        </w:numPr>
      </w:pPr>
      <w:r>
        <w:t>La duración de la batería con pilas secas AA recargables es de aprox</w:t>
      </w:r>
      <w:r w:rsidR="00345848">
        <w:t xml:space="preserve">imadamente </w:t>
      </w:r>
      <w:r>
        <w:t>300 horas dependiendo de la temperatura ambiente (aseg</w:t>
      </w:r>
      <w:r w:rsidR="00345848">
        <w:t xml:space="preserve">urate de </w:t>
      </w:r>
      <w:r>
        <w:t>que estas baterías se recarguen periódicamente</w:t>
      </w:r>
      <w:r w:rsidR="00345848">
        <w:t>, si se descargan del todo se arruinan</w:t>
      </w:r>
      <w:r>
        <w:t>).</w:t>
      </w:r>
    </w:p>
    <w:p w14:paraId="7029D17E" w14:textId="77777777" w:rsidR="00345848" w:rsidRDefault="00345848" w:rsidP="003D7FEA">
      <w:pPr>
        <w:pStyle w:val="Prrafodelista"/>
        <w:numPr>
          <w:ilvl w:val="0"/>
          <w:numId w:val="2"/>
        </w:numPr>
      </w:pPr>
      <w:r>
        <w:t xml:space="preserve">Si usás </w:t>
      </w:r>
      <w:r w:rsidR="003D7FEA">
        <w:t>pilas alcalinas,</w:t>
      </w:r>
      <w:r>
        <w:t xml:space="preserve"> el equipo también funcionará, pero acordate de retirarlas cuando el equipo no vaya a estar en uso para evitar que se sulfaten, arruinando contactos y plaquetas.</w:t>
      </w:r>
    </w:p>
    <w:p w14:paraId="53149545" w14:textId="0E942575" w:rsidR="0074086C" w:rsidRDefault="0074086C" w:rsidP="0074086C">
      <w:pPr>
        <w:pStyle w:val="Ttulo2"/>
      </w:pPr>
      <w:r>
        <w:t>Video</w:t>
      </w:r>
    </w:p>
    <w:p w14:paraId="60F90F2E" w14:textId="67531398" w:rsidR="0074086C" w:rsidRDefault="0074086C" w:rsidP="0074086C">
      <w:r>
        <w:t>Si te resulta más fácil mirar un video que leer un manual, aquí también podrás encontrar buena información sobre el uso de este equipo:</w:t>
      </w:r>
    </w:p>
    <w:p w14:paraId="394A6184" w14:textId="64245A2F" w:rsidR="00B8734D" w:rsidRDefault="00B8734D" w:rsidP="00B8734D">
      <w:pPr>
        <w:jc w:val="center"/>
      </w:pPr>
      <w:r>
        <w:rPr>
          <w:noProof/>
        </w:rPr>
        <w:drawing>
          <wp:inline distT="0" distB="0" distL="0" distR="0" wp14:anchorId="756858D2" wp14:editId="7D8CD8CE">
            <wp:extent cx="1260000" cy="1260000"/>
            <wp:effectExtent l="0" t="0" r="0" b="0"/>
            <wp:docPr id="204139714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42746" w14:textId="6670008E" w:rsidR="0074086C" w:rsidRPr="0074086C" w:rsidRDefault="00FC1205" w:rsidP="00B8734D">
      <w:pPr>
        <w:jc w:val="center"/>
      </w:pPr>
      <w:hyperlink r:id="rId10" w:history="1">
        <w:r w:rsidR="00B8734D" w:rsidRPr="00687D41">
          <w:rPr>
            <w:rStyle w:val="Hipervnculo"/>
          </w:rPr>
          <w:t>https://www.youtube.com/watch?v=eUoy5CRCai8</w:t>
        </w:r>
      </w:hyperlink>
    </w:p>
    <w:sectPr w:rsidR="0074086C" w:rsidRPr="0074086C" w:rsidSect="00F34C41">
      <w:headerReference w:type="default" r:id="rId11"/>
      <w:footerReference w:type="default" r:id="rId12"/>
      <w:pgSz w:w="11906" w:h="16838"/>
      <w:pgMar w:top="1985" w:right="709" w:bottom="992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2ADA" w14:textId="77777777" w:rsidR="00D9751A" w:rsidRDefault="00D9751A" w:rsidP="00E95877">
      <w:pPr>
        <w:spacing w:before="0"/>
      </w:pPr>
      <w:r>
        <w:separator/>
      </w:r>
    </w:p>
  </w:endnote>
  <w:endnote w:type="continuationSeparator" w:id="0">
    <w:p w14:paraId="689970C4" w14:textId="77777777" w:rsidR="00D9751A" w:rsidRDefault="00D9751A" w:rsidP="00E958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D4899" w14:textId="77777777" w:rsidR="00542F14" w:rsidRPr="00CA5ABF" w:rsidRDefault="00D94EE5" w:rsidP="00CA5ABF">
    <w:pPr>
      <w:pStyle w:val="PieTecnoEduSup"/>
    </w:pPr>
    <w:r w:rsidRPr="00CA5ABF">
      <w:t>Av. José Javier Díaz 429 Bº Iponá</w:t>
    </w:r>
    <w:r w:rsidR="00542F14" w:rsidRPr="00CA5ABF">
      <w:tab/>
    </w:r>
    <w:r w:rsidR="00F34C41" w:rsidRPr="00CA5ABF">
      <w:tab/>
    </w:r>
    <w:r w:rsidR="00542F14" w:rsidRPr="00CA5ABF">
      <w:t>Telefax (+54) (0) (351) 461 7007 (líneas rotativas)</w:t>
    </w:r>
  </w:p>
  <w:p w14:paraId="4856CE4D" w14:textId="77777777" w:rsidR="00D94EE5" w:rsidRPr="002541D4" w:rsidRDefault="002541D4" w:rsidP="00CA5ABF">
    <w:pPr>
      <w:pStyle w:val="PIeTecnoeduInf"/>
    </w:pPr>
    <w:r w:rsidRPr="00023583">
      <w:rPr>
        <w:smallCaps/>
      </w:rPr>
      <w:t xml:space="preserve"> (</w:t>
    </w:r>
    <w:r w:rsidR="00D94EE5" w:rsidRPr="00023583">
      <w:rPr>
        <w:smallCaps/>
      </w:rPr>
      <w:t>X5016BHE</w:t>
    </w:r>
    <w:r w:rsidRPr="00023583">
      <w:rPr>
        <w:smallCaps/>
      </w:rPr>
      <w:t>)</w:t>
    </w:r>
    <w:r w:rsidR="00D94EE5" w:rsidRPr="00023583">
      <w:rPr>
        <w:smallCaps/>
      </w:rPr>
      <w:t>Córdoba</w:t>
    </w:r>
    <w:r w:rsidR="00542F14" w:rsidRPr="00023583">
      <w:rPr>
        <w:smallCaps/>
      </w:rPr>
      <w:t xml:space="preserve"> </w:t>
    </w:r>
    <w:r w:rsidR="00F34C41">
      <w:rPr>
        <w:smallCaps/>
      </w:rPr>
      <w:t>–</w:t>
    </w:r>
    <w:r w:rsidR="00542F14" w:rsidRPr="00023583">
      <w:rPr>
        <w:smallCaps/>
      </w:rPr>
      <w:t xml:space="preserve"> </w:t>
    </w:r>
    <w:r w:rsidR="00380EF5" w:rsidRPr="00023583">
      <w:rPr>
        <w:smallCaps/>
      </w:rPr>
      <w:t>Argentina</w:t>
    </w:r>
    <w:r w:rsidR="00F34C41">
      <w:rPr>
        <w:smallCaps/>
      </w:rPr>
      <w:tab/>
    </w:r>
    <w:r w:rsidR="00542F14" w:rsidRPr="002541D4">
      <w:fldChar w:fldCharType="begin"/>
    </w:r>
    <w:r w:rsidR="00542F14" w:rsidRPr="002541D4">
      <w:instrText>PAGE   \* MERGEFORMAT</w:instrText>
    </w:r>
    <w:r w:rsidR="00542F14" w:rsidRPr="002541D4">
      <w:fldChar w:fldCharType="separate"/>
    </w:r>
    <w:r w:rsidR="00CA5ABF" w:rsidRPr="00CA5ABF">
      <w:rPr>
        <w:noProof/>
        <w:lang w:val="es-ES"/>
      </w:rPr>
      <w:t>1</w:t>
    </w:r>
    <w:r w:rsidR="00542F14" w:rsidRPr="002541D4">
      <w:fldChar w:fldCharType="end"/>
    </w:r>
    <w:r w:rsidR="00542F14">
      <w:tab/>
    </w:r>
    <w:hyperlink r:id="rId1" w:history="1">
      <w:r w:rsidR="00D94EE5"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6FA5" w14:textId="77777777" w:rsidR="00D9751A" w:rsidRDefault="00D9751A" w:rsidP="00E95877">
      <w:pPr>
        <w:spacing w:before="0"/>
      </w:pPr>
      <w:r>
        <w:separator/>
      </w:r>
    </w:p>
  </w:footnote>
  <w:footnote w:type="continuationSeparator" w:id="0">
    <w:p w14:paraId="1EC6E43A" w14:textId="77777777" w:rsidR="00D9751A" w:rsidRDefault="00D9751A" w:rsidP="00E958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DAEE3" w14:textId="77777777" w:rsidR="00E95877" w:rsidRPr="00D94EE5" w:rsidRDefault="00C74B5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 wp14:anchorId="5F2DCF16" wp14:editId="7B6E60C5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BCC"/>
    <w:multiLevelType w:val="hybridMultilevel"/>
    <w:tmpl w:val="94168B6A"/>
    <w:lvl w:ilvl="0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0913CB5"/>
    <w:multiLevelType w:val="hybridMultilevel"/>
    <w:tmpl w:val="3CEA5D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2208"/>
    <w:multiLevelType w:val="hybridMultilevel"/>
    <w:tmpl w:val="7A30ED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25524">
    <w:abstractNumId w:val="1"/>
  </w:num>
  <w:num w:numId="2" w16cid:durableId="482507862">
    <w:abstractNumId w:val="2"/>
  </w:num>
  <w:num w:numId="3" w16cid:durableId="25902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1A"/>
    <w:rsid w:val="00023583"/>
    <w:rsid w:val="002541D4"/>
    <w:rsid w:val="003133CB"/>
    <w:rsid w:val="00326E76"/>
    <w:rsid w:val="00345848"/>
    <w:rsid w:val="00380EF5"/>
    <w:rsid w:val="003D7FEA"/>
    <w:rsid w:val="00542F14"/>
    <w:rsid w:val="006339A3"/>
    <w:rsid w:val="006579EC"/>
    <w:rsid w:val="0074086C"/>
    <w:rsid w:val="00830E34"/>
    <w:rsid w:val="008537BB"/>
    <w:rsid w:val="008D2EF1"/>
    <w:rsid w:val="00956092"/>
    <w:rsid w:val="009C3E55"/>
    <w:rsid w:val="00B8734D"/>
    <w:rsid w:val="00C23686"/>
    <w:rsid w:val="00C5695C"/>
    <w:rsid w:val="00C74B5D"/>
    <w:rsid w:val="00C75C78"/>
    <w:rsid w:val="00CA5ABF"/>
    <w:rsid w:val="00D94EE5"/>
    <w:rsid w:val="00D9751A"/>
    <w:rsid w:val="00E95877"/>
    <w:rsid w:val="00E97C25"/>
    <w:rsid w:val="00F34C41"/>
    <w:rsid w:val="00FC1205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6586"/>
  <w15:chartTrackingRefBased/>
  <w15:docId w15:val="{7D11CF92-CF51-4C9A-85A1-F9D85B77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BF"/>
    <w:pPr>
      <w:tabs>
        <w:tab w:val="right" w:pos="9979"/>
      </w:tabs>
      <w:spacing w:before="120" w:after="0" w:line="240" w:lineRule="auto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97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584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58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D97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458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D7FE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458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8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Uoy5CRCai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186A-688A-47EA-ACCE-E215D62F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44</TotalTime>
  <Pages>2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4</cp:revision>
  <cp:lastPrinted>2016-10-07T17:58:00Z</cp:lastPrinted>
  <dcterms:created xsi:type="dcterms:W3CDTF">2024-06-12T18:31:00Z</dcterms:created>
  <dcterms:modified xsi:type="dcterms:W3CDTF">2024-06-12T19:34:00Z</dcterms:modified>
</cp:coreProperties>
</file>